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9" w:rsidRPr="004C37F8" w:rsidRDefault="00B342BA" w:rsidP="004C37F8">
      <w:pPr>
        <w:pStyle w:val="2"/>
        <w:spacing w:after="480"/>
        <w:rPr>
          <w:sz w:val="32"/>
          <w:szCs w:val="32"/>
        </w:rPr>
      </w:pPr>
      <w:bookmarkStart w:id="0" w:name="_Toc482190154"/>
      <w:r w:rsidRPr="004C37F8">
        <w:rPr>
          <w:sz w:val="32"/>
          <w:szCs w:val="32"/>
        </w:rPr>
        <w:t xml:space="preserve">Обзор о работе с </w:t>
      </w:r>
      <w:r w:rsidR="003E0529" w:rsidRPr="004C37F8">
        <w:rPr>
          <w:sz w:val="32"/>
          <w:szCs w:val="32"/>
        </w:rPr>
        <w:t>обращениями граждан</w:t>
      </w:r>
      <w:bookmarkEnd w:id="0"/>
      <w:r w:rsidRPr="004C37F8">
        <w:rPr>
          <w:sz w:val="32"/>
          <w:szCs w:val="32"/>
        </w:rPr>
        <w:t xml:space="preserve"> в 2016 году</w:t>
      </w:r>
    </w:p>
    <w:p w:rsidR="003E0529" w:rsidRDefault="003E0529" w:rsidP="009D65E3">
      <w:pPr>
        <w:spacing w:after="120" w:line="240" w:lineRule="auto"/>
        <w:ind w:firstLine="0"/>
      </w:pPr>
      <w:r>
        <w:t xml:space="preserve">В 2016 году в Счетной палате Красноярского края </w:t>
      </w:r>
      <w:proofErr w:type="gramStart"/>
      <w:r>
        <w:t>зарегистрированы</w:t>
      </w:r>
      <w:proofErr w:type="gramEnd"/>
      <w:r>
        <w:t xml:space="preserve"> </w:t>
      </w:r>
      <w:r>
        <w:br/>
        <w:t xml:space="preserve">и рассмотрены 36 обращений – жалоб, заявлений, ходатайств и предложений, поступивших от граждан и представителей организаций. </w:t>
      </w:r>
    </w:p>
    <w:p w:rsidR="003E0529" w:rsidRDefault="003E0529" w:rsidP="009D65E3">
      <w:pPr>
        <w:spacing w:after="120" w:line="240" w:lineRule="auto"/>
        <w:ind w:firstLine="0"/>
      </w:pPr>
      <w:proofErr w:type="gramStart"/>
      <w:r>
        <w:t xml:space="preserve">Анализ поступивших в 2016 году обращений свидетельствует о том, что среди обращений, связанных с расходованием краевых средств и исполнением бюджета Красноярского края, преобладали вопросы предоставления государственных услуг в сфере здравоохранения и социального обеспечения, жилищно-коммунального хозяйства и тарифов на жилищно-коммунальные услуги, культуры и спорта, образования, закупок для государственных </w:t>
      </w:r>
      <w:r>
        <w:br/>
        <w:t>и муниципальных нужд,  противодействия коррупции.</w:t>
      </w:r>
      <w:proofErr w:type="gramEnd"/>
    </w:p>
    <w:p w:rsidR="003E0529" w:rsidRDefault="003E0529" w:rsidP="009D65E3">
      <w:pPr>
        <w:spacing w:after="120" w:line="240" w:lineRule="auto"/>
        <w:ind w:firstLine="0"/>
      </w:pPr>
      <w:r w:rsidRPr="00841932">
        <w:rPr>
          <w:noProof/>
          <w:lang w:eastAsia="ru-RU"/>
        </w:rPr>
        <w:drawing>
          <wp:inline distT="0" distB="0" distL="0" distR="0">
            <wp:extent cx="6299864" cy="2374711"/>
            <wp:effectExtent l="19050" t="0" r="5686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0529" w:rsidRDefault="003E0529" w:rsidP="009D65E3">
      <w:pPr>
        <w:spacing w:after="120" w:line="240" w:lineRule="auto"/>
        <w:ind w:firstLine="0"/>
      </w:pPr>
      <w:r>
        <w:t>Материалы 14 обращений, в соответствии с требованием статьи 8 Федерального закона от 02.05.2006 № 59-ФЗ «О порядке рассмотрения обращений граждан Российской Федерации» были направлены в иные компетентные органы.</w:t>
      </w:r>
    </w:p>
    <w:p w:rsidR="003E0529" w:rsidRDefault="003E0529" w:rsidP="009D65E3">
      <w:pPr>
        <w:spacing w:after="120" w:line="240" w:lineRule="auto"/>
        <w:ind w:firstLine="0"/>
      </w:pPr>
      <w:r>
        <w:t>Информация, содержащаяся в обращениях граждан, учитывалась при проведении контрольных и экспертно-аналитических мероприяти</w:t>
      </w:r>
      <w:r w:rsidR="007F7E10">
        <w:t>й</w:t>
      </w:r>
      <w:r>
        <w:t xml:space="preserve">. Материалы 11 обращений граждан и представителей организаций проверены в 2016 году </w:t>
      </w:r>
      <w:r>
        <w:br/>
        <w:t>в рамках контрольных мероприятий, в частности:</w:t>
      </w:r>
    </w:p>
    <w:p w:rsidR="003E0529" w:rsidRPr="009D65E3" w:rsidRDefault="003E0529" w:rsidP="009D65E3">
      <w:pPr>
        <w:pStyle w:val="a5"/>
        <w:numPr>
          <w:ilvl w:val="0"/>
          <w:numId w:val="1"/>
        </w:numPr>
        <w:spacing w:after="120" w:line="240" w:lineRule="auto"/>
        <w:ind w:left="426" w:hanging="426"/>
      </w:pPr>
      <w:r w:rsidRPr="009D65E3">
        <w:t xml:space="preserve">обращение о проведении проверки расходования бюджетных средств </w:t>
      </w:r>
      <w:r w:rsidRPr="009D65E3">
        <w:br/>
        <w:t>на ремонт вводного коллектора и муниципальных жилых помещений многоквартирных домов города Норильска учтено в ходе контрольного мероприятия по проверке использования средств на организацию и проведение капитальных ремонтов общего имущества собственников жилых помещений в многоквартирных домах;</w:t>
      </w:r>
    </w:p>
    <w:p w:rsidR="003E0529" w:rsidRPr="009D65E3" w:rsidRDefault="003E0529" w:rsidP="009D65E3">
      <w:pPr>
        <w:pStyle w:val="a5"/>
        <w:numPr>
          <w:ilvl w:val="0"/>
          <w:numId w:val="1"/>
        </w:numPr>
        <w:spacing w:after="120" w:line="240" w:lineRule="auto"/>
        <w:ind w:left="426" w:hanging="426"/>
      </w:pPr>
      <w:r w:rsidRPr="009D65E3">
        <w:t xml:space="preserve">обращение о ситуации с организаций и обеспечением питанием обучающихся в образовательных учреждениях </w:t>
      </w:r>
      <w:proofErr w:type="gramStart"/>
      <w:r w:rsidRPr="009D65E3">
        <w:t>принято к сведению и учтено</w:t>
      </w:r>
      <w:proofErr w:type="gramEnd"/>
      <w:r w:rsidRPr="009D65E3">
        <w:t xml:space="preserve"> </w:t>
      </w:r>
      <w:r w:rsidRPr="009D65E3">
        <w:br/>
        <w:t xml:space="preserve">при проведении контрольного мероприятия «Проверка использования средств </w:t>
      </w:r>
      <w:r w:rsidRPr="009D65E3">
        <w:br/>
        <w:t>на организацию и обеспечение питанием обучающихся в образовательных организациях»;</w:t>
      </w:r>
    </w:p>
    <w:p w:rsidR="003E0529" w:rsidRPr="009D65E3" w:rsidRDefault="003E0529" w:rsidP="009D65E3">
      <w:pPr>
        <w:pStyle w:val="a5"/>
        <w:numPr>
          <w:ilvl w:val="0"/>
          <w:numId w:val="1"/>
        </w:numPr>
        <w:spacing w:after="120" w:line="240" w:lineRule="auto"/>
        <w:ind w:left="426" w:hanging="426"/>
      </w:pPr>
      <w:proofErr w:type="gramStart"/>
      <w:r w:rsidRPr="009D65E3">
        <w:lastRenderedPageBreak/>
        <w:t>предлагаемые вопросы из обращения о включении в план работы Счетной палаты Красноярского края на 2016-2017 годы проверок в сфере сохранения объектов культурного наследия на территории Красноярского края были рассмотрены в ходе мероприятия «Мониторинг результатов контрольного мероприятия «Проверка использования в 2014 году средств на сохранение объектов культурного наследия (в том числе консервацию)».</w:t>
      </w:r>
      <w:proofErr w:type="gramEnd"/>
    </w:p>
    <w:sectPr w:rsidR="003E0529" w:rsidRPr="009D65E3" w:rsidSect="009D65E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611"/>
    <w:multiLevelType w:val="hybridMultilevel"/>
    <w:tmpl w:val="8BB66CC0"/>
    <w:lvl w:ilvl="0" w:tplc="CFAEC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9365D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0529"/>
    <w:rsid w:val="001218B6"/>
    <w:rsid w:val="0031706F"/>
    <w:rsid w:val="003E0529"/>
    <w:rsid w:val="004C37F8"/>
    <w:rsid w:val="005D7AF6"/>
    <w:rsid w:val="007F7E10"/>
    <w:rsid w:val="0084012D"/>
    <w:rsid w:val="009D65E3"/>
    <w:rsid w:val="00A4169A"/>
    <w:rsid w:val="00A701D1"/>
    <w:rsid w:val="00A71BA0"/>
    <w:rsid w:val="00B342BA"/>
    <w:rsid w:val="00E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29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529"/>
    <w:pPr>
      <w:spacing w:before="24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529"/>
    <w:rPr>
      <w:rFonts w:ascii="Times New Roman" w:hAnsi="Times New Roman"/>
      <w:b/>
      <w:sz w:val="28"/>
    </w:rPr>
  </w:style>
  <w:style w:type="paragraph" w:styleId="a3">
    <w:name w:val="Document Map"/>
    <w:basedOn w:val="a"/>
    <w:link w:val="a4"/>
    <w:uiPriority w:val="99"/>
    <w:semiHidden/>
    <w:unhideWhenUsed/>
    <w:rsid w:val="003E0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E0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3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cs typeface="Times New Roman" pitchFamily="18" charset="0"/>
              </a:rPr>
              <a:t>Тематика обращений, поступивших</a:t>
            </a:r>
            <a:r>
              <a:rPr lang="ru-RU" sz="13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cs typeface="Times New Roman" pitchFamily="18" charset="0"/>
              </a:rPr>
              <a:t> в Счетную палату в 2016 году</a:t>
            </a:r>
            <a:endParaRPr lang="ru-RU" sz="1300">
              <a:solidFill>
                <a:schemeClr val="tx1">
                  <a:lumMod val="65000"/>
                  <a:lumOff val="35000"/>
                </a:schemeClr>
              </a:solidFill>
              <a:latin typeface="+mn-lt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009307459865677"/>
          <c:y val="4.5977011494252866E-2"/>
        </c:manualLayout>
      </c:layout>
    </c:title>
    <c:view3D>
      <c:rotX val="30"/>
      <c:rotY val="120"/>
      <c:perspective val="30"/>
    </c:view3D>
    <c:plotArea>
      <c:layout>
        <c:manualLayout>
          <c:layoutTarget val="inner"/>
          <c:xMode val="edge"/>
          <c:yMode val="edge"/>
          <c:x val="2.6619970536966508E-4"/>
          <c:y val="0.24431250691364717"/>
          <c:w val="0.61840621662081641"/>
          <c:h val="0.67211914602628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сотрудников Счетной палаты Красноярского края</c:v>
                </c:pt>
              </c:strCache>
            </c:strRef>
          </c:tx>
          <c:spPr>
            <a:ln w="19050">
              <a:solidFill>
                <a:schemeClr val="tx1">
                  <a:lumMod val="50000"/>
                  <a:lumOff val="50000"/>
                </a:schemeClr>
              </a:solidFill>
            </a:ln>
          </c:spPr>
          <c:dPt>
            <c:idx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1"/>
            <c:spPr>
              <a:solidFill>
                <a:srgbClr val="376091"/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2"/>
            <c:spPr>
              <a:solidFill>
                <a:schemeClr val="accent1"/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3"/>
            <c:spPr>
              <a:solidFill>
                <a:srgbClr val="769DCC"/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4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5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6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3"/>
              <c:layout>
                <c:manualLayout>
                  <c:x val="4.2127374017733532E-2"/>
                  <c:y val="0.10217395239388199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4.4798424402699696E-2"/>
                  <c:y val="8.5240494363493596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4.4479493013449133E-2"/>
                  <c:y val="4.7112559205961413E-2"/>
                </c:manualLayout>
              </c:layout>
              <c:dLblPos val="bestFit"/>
              <c:showPercent val="1"/>
            </c:dLbl>
            <c:txPr>
              <a:bodyPr/>
              <a:lstStyle/>
              <a:p>
                <a:pPr>
                  <a:defRPr sz="1400" b="1"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Percent val="1"/>
          </c:dLbls>
          <c:cat>
            <c:strRef>
              <c:f>Лист1!$A$2:$A$8</c:f>
              <c:strCache>
                <c:ptCount val="7"/>
                <c:pt idx="0">
                  <c:v>здравоохранение и соц.сфера</c:v>
                </c:pt>
                <c:pt idx="1">
                  <c:v>ЖКХ</c:v>
                </c:pt>
                <c:pt idx="2">
                  <c:v>культура и спорт</c:v>
                </c:pt>
                <c:pt idx="3">
                  <c:v>образование</c:v>
                </c:pt>
                <c:pt idx="4">
                  <c:v>государственные закупки</c:v>
                </c:pt>
                <c:pt idx="5">
                  <c:v>коррупция</c:v>
                </c:pt>
                <c:pt idx="6">
                  <c:v>прочие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38932501061115"/>
          <c:y val="0.19788095453585539"/>
          <c:w val="0.38897719306826589"/>
          <c:h val="0.71175631781659565"/>
        </c:manualLayout>
      </c:layout>
      <c:txPr>
        <a:bodyPr/>
        <a:lstStyle/>
        <a:p>
          <a:pPr>
            <a:defRPr sz="1250" b="0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podyacheva</dc:creator>
  <cp:lastModifiedBy>podyacheva</cp:lastModifiedBy>
  <cp:revision>5</cp:revision>
  <cp:lastPrinted>2018-02-01T09:40:00Z</cp:lastPrinted>
  <dcterms:created xsi:type="dcterms:W3CDTF">2018-02-01T09:38:00Z</dcterms:created>
  <dcterms:modified xsi:type="dcterms:W3CDTF">2022-01-31T10:12:00Z</dcterms:modified>
</cp:coreProperties>
</file>